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6">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7">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8">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w:t>
            </w:r>
            <w:r w:rsidDel="00000000" w:rsidR="00000000" w:rsidRPr="00000000">
              <w:rPr>
                <w:rFonts w:ascii="Arial" w:cs="Arial" w:eastAsia="Arial" w:hAnsi="Arial"/>
                <w:sz w:val="24"/>
                <w:szCs w:val="24"/>
                <w:rtl w:val="0"/>
              </w:rPr>
              <w:t xml:space="preserve">s including the Additional Charges, Insurance Charges and Rental Charges (ex</w:t>
            </w:r>
            <w:r w:rsidDel="00000000" w:rsidR="00000000" w:rsidRPr="00000000">
              <w:rPr>
                <w:rFonts w:ascii="Arial" w:cs="Arial" w:eastAsia="Arial" w:hAnsi="Arial"/>
                <w:color w:val="000000"/>
                <w:sz w:val="24"/>
                <w:szCs w:val="24"/>
                <w:rtl w:val="0"/>
              </w:rPr>
              <w:t xml:space="preserve">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F">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0">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1">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2">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3">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4">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5">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6">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7">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8">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9">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A">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D">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1">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5">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6">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7">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8">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9">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bl>
      <w:tblPr>
        <w:tblStyle w:val="Table2"/>
        <w:tblW w:w="100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17"/>
        <w:gridCol w:w="7938"/>
        <w:tblGridChange w:id="0">
          <w:tblGrid>
            <w:gridCol w:w="2117"/>
            <w:gridCol w:w="7938"/>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means for the purposes of calculating each Party’s annual liability under clause 11.2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  in the first Contract Year, the Estimated Year 1 Charges; or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 public sector purchaser that is:</w:t>
            </w:r>
          </w:p>
          <w:p w:rsidR="00000000" w:rsidDel="00000000" w:rsidP="00000000" w:rsidRDefault="00000000" w:rsidRPr="00000000" w14:paraId="000000E9">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eligible to use the Framework Contract; and</w:t>
            </w:r>
          </w:p>
          <w:p w:rsidR="00000000" w:rsidDel="00000000" w:rsidP="00000000" w:rsidRDefault="00000000" w:rsidRPr="00000000" w14:paraId="000000EA">
            <w:pPr>
              <w:numPr>
                <w:ilvl w:val="0"/>
                <w:numId w:val="18"/>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is entering into an Exempt Call-off Contract that is not subject to (as applicable) any of:</w:t>
            </w:r>
          </w:p>
          <w:p w:rsidR="00000000" w:rsidDel="00000000" w:rsidP="00000000" w:rsidRDefault="00000000" w:rsidRPr="00000000" w14:paraId="000000EB">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Regulations;</w:t>
            </w:r>
          </w:p>
          <w:p w:rsidR="00000000" w:rsidDel="00000000" w:rsidP="00000000" w:rsidRDefault="00000000" w:rsidRPr="00000000" w14:paraId="000000EC">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Concession Contracts Regulations 2016 (SI 2016/273);</w:t>
            </w:r>
          </w:p>
          <w:p w:rsidR="00000000" w:rsidDel="00000000" w:rsidP="00000000" w:rsidRDefault="00000000" w:rsidRPr="00000000" w14:paraId="000000ED">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Utilities Contracts Regulations 2016 (SI 2016/274);</w:t>
            </w:r>
          </w:p>
          <w:p w:rsidR="00000000" w:rsidDel="00000000" w:rsidP="00000000" w:rsidRDefault="00000000" w:rsidRPr="00000000" w14:paraId="000000EE">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Defence and Security Public Contracts Regulations 2011 (SI 2011/1848);</w:t>
            </w:r>
          </w:p>
          <w:p w:rsidR="00000000" w:rsidDel="00000000" w:rsidP="00000000" w:rsidRDefault="00000000" w:rsidRPr="00000000" w14:paraId="000000EF">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Remedies Directive (2007/66/EC);</w:t>
            </w:r>
          </w:p>
          <w:p w:rsidR="00000000" w:rsidDel="00000000" w:rsidP="00000000" w:rsidRDefault="00000000" w:rsidRPr="00000000" w14:paraId="000000F0">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Directive 2014/23/EU of the European Parliament and Council;</w:t>
            </w:r>
          </w:p>
          <w:p w:rsidR="00000000" w:rsidDel="00000000" w:rsidP="00000000" w:rsidRDefault="00000000" w:rsidRPr="00000000" w14:paraId="000000F1">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Directive 2014/24/EU of the European Parliament and Council;</w:t>
            </w:r>
          </w:p>
          <w:p w:rsidR="00000000" w:rsidDel="00000000" w:rsidP="00000000" w:rsidRDefault="00000000" w:rsidRPr="00000000" w14:paraId="000000F2">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Directive 2014/25/EU of the European Parliament and Council; or</w:t>
            </w:r>
          </w:p>
          <w:p w:rsidR="00000000" w:rsidDel="00000000" w:rsidP="00000000" w:rsidRDefault="00000000" w:rsidRPr="00000000" w14:paraId="000000F3">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Call-off Contract”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60"/>
        <w:tblGridChange w:id="0">
          <w:tblGrid>
            <w:gridCol w:w="2400"/>
            <w:gridCol w:w="7560"/>
          </w:tblGrid>
        </w:tblGridChange>
      </w:tblGrid>
      <w:tr>
        <w:trPr>
          <w:cantSplit w:val="0"/>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5">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6">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7">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8">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5">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6">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1">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2">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D">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E">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F">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0">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1">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2">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3">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4">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5">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6">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7">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9">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A">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8B">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9">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A">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9F">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0">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4">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6">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7">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8">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9">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A">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B">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C">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A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E">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F">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5">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6">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7">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8">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9">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DA">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DB">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DC">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DD">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6">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7">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8">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F">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0">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4">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5">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F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17">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1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9">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A">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2B">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2C">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2F">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5">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6">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7">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3">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4">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5">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134"/>
              </w:tabs>
              <w:spacing w:after="120" w:before="120" w:lineRule="auto"/>
              <w:ind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4E">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4F">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0">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5A">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5B">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5C">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5D">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5">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6">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6D">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6E">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6">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val="1"/>
    <w:unhideWhenUsed w:val="1"/>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M5G4MPo79SR7HLl+oDD3QoKgkQ==">AMUW2mUOffwaXtU6FjduG/dMsAINZoRI0s8gfAfB4snEGFoHLHkwKSrvzjinUB79Hk3bu5YQPTzlRgsXDXJNuaOeqBmBP38pYwa3WEZRwVax8sDlaZ3iEWJyTi0DU8aoIpabfTA7tArLNz0puygoEckQmfAm6KgWvnv7F66YM6ybziI5braM54QiiQdEYb3VGSbmYwnoSZiF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